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关于招募第十三批青海海南州研究生支教团成员的通知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各研究生培养单位：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为进一步巩固拓展脱贫攻坚成果，支持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青海省</w:t>
      </w:r>
      <w:r>
        <w:rPr>
          <w:rFonts w:hint="eastAsia" w:ascii="仿宋" w:hAnsi="仿宋" w:eastAsia="仿宋" w:cs="仿宋"/>
          <w:sz w:val="32"/>
          <w:szCs w:val="32"/>
        </w:rPr>
        <w:t>海南州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相关地区</w:t>
      </w:r>
      <w:r>
        <w:rPr>
          <w:rFonts w:hint="eastAsia" w:ascii="仿宋" w:hAnsi="仿宋" w:eastAsia="仿宋" w:cs="仿宋"/>
          <w:sz w:val="32"/>
          <w:szCs w:val="32"/>
        </w:rPr>
        <w:t>的基础教育工作，推动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西部地区</w:t>
      </w:r>
      <w:r>
        <w:rPr>
          <w:rFonts w:hint="eastAsia" w:ascii="仿宋" w:hAnsi="仿宋" w:eastAsia="仿宋" w:cs="仿宋"/>
          <w:sz w:val="32"/>
          <w:szCs w:val="32"/>
        </w:rPr>
        <w:t>乡村振兴走深走实，同时提供研究生到西部实践锻炼的舞台，根据青海省海南州教育局《关于恳请选派研究生至海南州中小学进行支教实践工作的函》（南教〔202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</w:t>
      </w:r>
      <w:r>
        <w:rPr>
          <w:rFonts w:hint="eastAsia" w:ascii="仿宋" w:hAnsi="仿宋" w:eastAsia="仿宋" w:cs="仿宋"/>
          <w:sz w:val="32"/>
          <w:szCs w:val="32"/>
        </w:rPr>
        <w:t>关于恳请选派研究生至海南州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职业技术学校进行支教</w:t>
      </w:r>
      <w:r>
        <w:rPr>
          <w:rFonts w:hint="eastAsia" w:ascii="仿宋" w:hAnsi="仿宋" w:eastAsia="仿宋" w:cs="仿宋"/>
          <w:sz w:val="32"/>
          <w:szCs w:val="32"/>
        </w:rPr>
        <w:t>实践工作的函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（南教〔202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号），经研究，我校拟继续组建第十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批青海省海南州研究生支教团。现将相关事项如下：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一、招募对象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我校全日制在读研究生、喀什大学联合培养研究生（须征得喀大批准）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二、支教时间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半年期</w:t>
      </w: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年9月1日-2024年1月中旬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具体时间以当地教学安排为准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三、支援服务学校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1.贵德县河西寄宿制学校；2.贵德县河阴寄宿制学校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3.共和县职业技术学校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四、人员需求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1.初中：语文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人，数学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人，英语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人，历史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人，生物1人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</w:t>
      </w:r>
      <w:r>
        <w:rPr>
          <w:rFonts w:hint="eastAsia" w:ascii="仿宋" w:hAnsi="仿宋" w:eastAsia="仿宋" w:cs="仿宋"/>
          <w:sz w:val="32"/>
          <w:szCs w:val="32"/>
        </w:rPr>
        <w:t>1人，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</w:t>
      </w:r>
      <w:r>
        <w:rPr>
          <w:rFonts w:hint="eastAsia" w:ascii="仿宋" w:hAnsi="仿宋" w:eastAsia="仿宋" w:cs="仿宋"/>
          <w:sz w:val="32"/>
          <w:szCs w:val="32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体育1人，心理健康1人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2.小学：语文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人，数学2人，英语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3.中专：电气自动化2人，康复2人，计算机网络2人。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具体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见下表：</w:t>
      </w:r>
    </w:p>
    <w:tbl>
      <w:tblPr>
        <w:tblStyle w:val="6"/>
        <w:tblW w:w="810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10"/>
        <w:gridCol w:w="20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025" w:type="dxa"/>
            <w:shd w:val="clear" w:color="auto" w:fill="auto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支教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贵德县河西寄宿制学校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贵德县河阴寄宿制学校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共和县职业技术学校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2初中2小学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2初中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2小学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1初中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2初中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2初中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1初中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1初中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1初中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1初中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1初中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1初中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五、招募条件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1.全日制在读研究生；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2.具备过硬的政治素质，理想信念坚定，热爱教育工作，具有强烈的奉献精神；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3.品行端正，诚实守信，品学兼优，无任何违法违纪受处分记录，能够胜任教育工作；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4.身心健康，吃苦耐劳，能够适应青海高原地区的各项工作和生活（体检结果必须符合相关标准）；心理稳定，适应能力强，能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快速融入</w:t>
      </w:r>
      <w:r>
        <w:rPr>
          <w:rFonts w:hint="eastAsia" w:ascii="仿宋" w:hAnsi="仿宋" w:eastAsia="仿宋" w:cs="仿宋"/>
          <w:sz w:val="32"/>
          <w:szCs w:val="32"/>
        </w:rPr>
        <w:t>当地教育教学工作；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5.同等条件下，教育硕士、党员、主要学生干部以及在志愿服务活动中表现突出者优先录取。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六、支教内容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1.教学工作。包括备课、教学设计、听课、试教、评课、课后辅导、批改作业等环节，每周在 12 至 20 学时。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2.班主任工作。制定班主任工作计划，做好班级日常管理工作、组织学生开展班团活动，主持班会，做好学生思想工作，对学生进行个别教育等。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3.教育调查与研究。结合专业与学校需要进行教育调查和从事教育科研。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4.协助受援学校进行教育教学改革。支教期间鼓励研究生为当地和学校办好事、办实事，特别是结合专业特点为当地师生开设各类讲座和信息技术技能培训、课件制作等；在当地开展文化科技推广主题宣传活动。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七、工作保障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支教期间，可获得每人3000元/月的生活补助，其中我校提供每人1200元/月的生活补助（含400元/月助教费），研究生国家助学金600元/月，支教地发放1200元/月生活补助费。保留研究生的各类奖助学金和各类评优评奖资格。在符合奖学金评定基本条件基础上，原则上次年可直接享受一次二等奖学金（不占用学院名额）；表现优异者毕业当年可直接获得优秀毕业生称号（不占用学院名额）；因支教实践耽误的课程学习，待回学校后由学院统筹安排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2.每学期报销南通至青海往返交通费1次；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3.提供免费住宿，配备生活用具；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4.提供支教前入职体检（含心超）、人身意外伤害保险；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5.支教期间获当地教育局表彰的，返校后享受学校支教工作的相应的表彰；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6.如期完成支教任务考核合格，其支教期间的教学实践成果通过支教地区教育行政单位认定、两名校外专家（江苏省内、外各1名）鉴定，视为符合申请硕士学位的实践性成果1项。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八、招募程序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学校按照“公开招募、自愿报名、择优选拔”的方式，坚持公开透明，确保公平公正开展招募工作，具体程序如下：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1.个人申请：应募研究生填写《南通大学研究生支教报名表》（见附件1）（一式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份），征得家长（配偶）、导师同意后，报所在培养单位。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提醒：</w:t>
      </w:r>
      <w:r>
        <w:rPr>
          <w:rFonts w:hint="eastAsia" w:ascii="仿宋" w:hAnsi="仿宋" w:eastAsia="仿宋" w:cs="仿宋"/>
          <w:sz w:val="32"/>
          <w:szCs w:val="32"/>
        </w:rPr>
        <w:t>应募志愿者报名材料包括《南通大学研究生支教报名表》、《南通大学支教研究生推荐人选汇总表》、本年级德育智育排名情况、外语等级证书复印件、获奖证书复印件、学生干部证明、志愿服务证明、家长（配偶）知情书、诚信承诺书等相关证明材料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2.综合考察：所在培养单位对报名人选进行综合考察，确定拟推荐人员。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3.材料复核：项目办进行材料复查审核。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4.考核体检：研究生院择日组织面试考核及体检。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5.公示：对面试通过、体检合格人员进行公示。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日前将纸质《南通大学研究生支教报名表 》（附件1）（一式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份）、《南通大学支教研究生推荐人选汇总表》（附件2）（一式一份）以及相关证明附件一并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盖章报送至研究生院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思想政治教育与管理办公室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啬园校区</w:t>
      </w:r>
      <w:r>
        <w:rPr>
          <w:rFonts w:hint="eastAsia" w:ascii="仿宋" w:hAnsi="仿宋" w:eastAsia="仿宋" w:cs="仿宋"/>
          <w:sz w:val="32"/>
          <w:szCs w:val="32"/>
        </w:rPr>
        <w:t>逸夫楼6-21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2室</w:t>
      </w:r>
      <w:r>
        <w:rPr>
          <w:rFonts w:hint="eastAsia" w:ascii="仿宋" w:hAnsi="仿宋" w:eastAsia="仿宋" w:cs="仿宋"/>
          <w:sz w:val="32"/>
          <w:szCs w:val="32"/>
        </w:rPr>
        <w:t>），电子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文档发送至yszk@ntu.edu.cn。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林流 牛童</w:t>
      </w:r>
      <w:r>
        <w:rPr>
          <w:rFonts w:hint="eastAsia" w:ascii="仿宋" w:hAnsi="仿宋" w:eastAsia="仿宋" w:cs="仿宋"/>
          <w:sz w:val="32"/>
          <w:szCs w:val="32"/>
        </w:rPr>
        <w:t xml:space="preserve">   联系电话：85012398。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附件1：南通大学研究生支教报名表 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附件2：南通大学支教研究生推荐人选汇总表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研究生院</w:t>
      </w:r>
    </w:p>
    <w:p>
      <w:pPr>
        <w:spacing w:line="60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7DDF2E-0A44-463B-ABA6-64DDB1DD2C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8B44F67-F599-4669-AA56-7904E50E72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61151E-6A51-4BF8-AE08-54236B1AD1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61630B3-1B7F-4BA5-8A6C-44B3BFA108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mVhNzM1ZjJkZmQ4ZTg0ZDBhMGVhOTIxNzJiZTYifQ=="/>
  </w:docVars>
  <w:rsids>
    <w:rsidRoot w:val="6B241E79"/>
    <w:rsid w:val="00027354"/>
    <w:rsid w:val="000B0E65"/>
    <w:rsid w:val="000C4BC8"/>
    <w:rsid w:val="000D6330"/>
    <w:rsid w:val="000E021E"/>
    <w:rsid w:val="00124CD0"/>
    <w:rsid w:val="001314B6"/>
    <w:rsid w:val="001403D2"/>
    <w:rsid w:val="00177C0E"/>
    <w:rsid w:val="00182B71"/>
    <w:rsid w:val="00193C26"/>
    <w:rsid w:val="001A16C6"/>
    <w:rsid w:val="001D0DEF"/>
    <w:rsid w:val="001E1661"/>
    <w:rsid w:val="0020223D"/>
    <w:rsid w:val="0021480B"/>
    <w:rsid w:val="002216F9"/>
    <w:rsid w:val="00252ABD"/>
    <w:rsid w:val="00267314"/>
    <w:rsid w:val="00272537"/>
    <w:rsid w:val="002A2192"/>
    <w:rsid w:val="002B0FEE"/>
    <w:rsid w:val="002B6E8B"/>
    <w:rsid w:val="002C578C"/>
    <w:rsid w:val="002D7CDB"/>
    <w:rsid w:val="00312D17"/>
    <w:rsid w:val="00325969"/>
    <w:rsid w:val="00362704"/>
    <w:rsid w:val="0036473A"/>
    <w:rsid w:val="00394102"/>
    <w:rsid w:val="00404C3D"/>
    <w:rsid w:val="00421633"/>
    <w:rsid w:val="0043603F"/>
    <w:rsid w:val="004D5110"/>
    <w:rsid w:val="004F4CFE"/>
    <w:rsid w:val="00543A45"/>
    <w:rsid w:val="005615BE"/>
    <w:rsid w:val="00582CAA"/>
    <w:rsid w:val="00584342"/>
    <w:rsid w:val="005B4975"/>
    <w:rsid w:val="005E7168"/>
    <w:rsid w:val="00660624"/>
    <w:rsid w:val="0066761A"/>
    <w:rsid w:val="006829DA"/>
    <w:rsid w:val="006E1EBC"/>
    <w:rsid w:val="006E7A82"/>
    <w:rsid w:val="00726B66"/>
    <w:rsid w:val="00741699"/>
    <w:rsid w:val="007A660C"/>
    <w:rsid w:val="007B36F8"/>
    <w:rsid w:val="007D6721"/>
    <w:rsid w:val="00802D34"/>
    <w:rsid w:val="00807A23"/>
    <w:rsid w:val="0082012A"/>
    <w:rsid w:val="00834E7E"/>
    <w:rsid w:val="008674A5"/>
    <w:rsid w:val="008927CB"/>
    <w:rsid w:val="00893791"/>
    <w:rsid w:val="00893A01"/>
    <w:rsid w:val="008A20E4"/>
    <w:rsid w:val="008C4F4B"/>
    <w:rsid w:val="008F14F2"/>
    <w:rsid w:val="008F3BFE"/>
    <w:rsid w:val="008F425D"/>
    <w:rsid w:val="009A216F"/>
    <w:rsid w:val="00A233D1"/>
    <w:rsid w:val="00A34EAF"/>
    <w:rsid w:val="00A731FE"/>
    <w:rsid w:val="00A764F2"/>
    <w:rsid w:val="00AA2A0D"/>
    <w:rsid w:val="00AB1D58"/>
    <w:rsid w:val="00AD2673"/>
    <w:rsid w:val="00B22349"/>
    <w:rsid w:val="00B35E45"/>
    <w:rsid w:val="00BB6B94"/>
    <w:rsid w:val="00BD41D5"/>
    <w:rsid w:val="00C24990"/>
    <w:rsid w:val="00C351DA"/>
    <w:rsid w:val="00C62956"/>
    <w:rsid w:val="00C865D6"/>
    <w:rsid w:val="00CA0C31"/>
    <w:rsid w:val="00CA2489"/>
    <w:rsid w:val="00CA2816"/>
    <w:rsid w:val="00CA5A39"/>
    <w:rsid w:val="00CE51A4"/>
    <w:rsid w:val="00D07DA2"/>
    <w:rsid w:val="00D20B8C"/>
    <w:rsid w:val="00D328AE"/>
    <w:rsid w:val="00D35F2F"/>
    <w:rsid w:val="00D528E4"/>
    <w:rsid w:val="00D54525"/>
    <w:rsid w:val="00D75925"/>
    <w:rsid w:val="00D824E7"/>
    <w:rsid w:val="00D9311F"/>
    <w:rsid w:val="00E62447"/>
    <w:rsid w:val="00E742B6"/>
    <w:rsid w:val="00E86CF6"/>
    <w:rsid w:val="00E90FBF"/>
    <w:rsid w:val="00EA3EAC"/>
    <w:rsid w:val="00EB6BDC"/>
    <w:rsid w:val="00EE6488"/>
    <w:rsid w:val="00F1260B"/>
    <w:rsid w:val="00F306FB"/>
    <w:rsid w:val="00F34E3E"/>
    <w:rsid w:val="00FB4F5C"/>
    <w:rsid w:val="00FC624A"/>
    <w:rsid w:val="017D14E1"/>
    <w:rsid w:val="08857D60"/>
    <w:rsid w:val="0E782D40"/>
    <w:rsid w:val="0F9B0D7D"/>
    <w:rsid w:val="11C75D80"/>
    <w:rsid w:val="137B4165"/>
    <w:rsid w:val="1EF85B0F"/>
    <w:rsid w:val="21696E53"/>
    <w:rsid w:val="2793350F"/>
    <w:rsid w:val="2B9B237B"/>
    <w:rsid w:val="33973E7B"/>
    <w:rsid w:val="384A6C3F"/>
    <w:rsid w:val="3CEF6007"/>
    <w:rsid w:val="3D073351"/>
    <w:rsid w:val="42131CF4"/>
    <w:rsid w:val="4354112F"/>
    <w:rsid w:val="44E9128B"/>
    <w:rsid w:val="45A72620"/>
    <w:rsid w:val="4994122B"/>
    <w:rsid w:val="4998375E"/>
    <w:rsid w:val="4A2D016F"/>
    <w:rsid w:val="4D2C6E03"/>
    <w:rsid w:val="5A4C1409"/>
    <w:rsid w:val="64A43EF2"/>
    <w:rsid w:val="687C5BAE"/>
    <w:rsid w:val="69432F0E"/>
    <w:rsid w:val="6AF503DD"/>
    <w:rsid w:val="6B241E79"/>
    <w:rsid w:val="6CC92C88"/>
    <w:rsid w:val="6D535020"/>
    <w:rsid w:val="6DE83B08"/>
    <w:rsid w:val="6F520855"/>
    <w:rsid w:val="75E523F3"/>
    <w:rsid w:val="75EF43A6"/>
    <w:rsid w:val="792626EE"/>
    <w:rsid w:val="7B8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3"/>
    <w:autoRedefine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locked/>
    <w:uiPriority w:val="99"/>
    <w:rPr>
      <w:rFonts w:cs="Times New Roman"/>
      <w:b/>
      <w:bCs/>
    </w:rPr>
  </w:style>
  <w:style w:type="character" w:styleId="9">
    <w:name w:val="FollowedHyperlink"/>
    <w:qFormat/>
    <w:uiPriority w:val="99"/>
    <w:rPr>
      <w:rFonts w:cs="Times New Roman"/>
      <w:color w:val="0000FF"/>
      <w:u w:val="single"/>
    </w:rPr>
  </w:style>
  <w:style w:type="character" w:styleId="10">
    <w:name w:val="Hyperlink"/>
    <w:qFormat/>
    <w:uiPriority w:val="99"/>
    <w:rPr>
      <w:rFonts w:cs="Times New Roman"/>
      <w:color w:val="000000"/>
      <w:u w:val="none"/>
    </w:rPr>
  </w:style>
  <w:style w:type="character" w:customStyle="1" w:styleId="11">
    <w:name w:val="批注框文本 Char"/>
    <w:link w:val="2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2">
    <w:name w:val="页眉 Char"/>
    <w:link w:val="4"/>
    <w:autoRedefine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脚 Char"/>
    <w:link w:val="3"/>
    <w:autoRedefine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 Inc.</Company>
  <Pages>5</Pages>
  <Words>317</Words>
  <Characters>1812</Characters>
  <Lines>15</Lines>
  <Paragraphs>4</Paragraphs>
  <TotalTime>4</TotalTime>
  <ScaleCrop>false</ScaleCrop>
  <LinksUpToDate>false</LinksUpToDate>
  <CharactersWithSpaces>2125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2022-05-09T08:37:00Z</dcterms:created>
  <dc:creator>Administrator</dc:creator>
  <cp:lastModifiedBy>0606</cp:lastModifiedBy>
  <cp:lastPrinted>2024-05-23T00:59:00Z</cp:lastPrinted>
  <dcterms:modified xsi:type="dcterms:W3CDTF">2024-05-23T09:25:32Z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6B662BDA2BED48A8A01BC320C57A3204_13</vt:lpwstr>
  </property>
</Properties>
</file>